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Planungsleistungen für eine Einrichtung mit mehreren Zweckbestimmungen zur Grundversorgung sowie für soziale und kulturelle Zwecke sowie von Räumen zur gemeinschaftlicher Nutzung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2688186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Objektplanung mit dem Leistungsbild Gebäude/Innenräume einschließlich Freianlagenplanung soll für die Leistungsphasen 1-9 (Los1), die Fachplanung mit dem Leistungsbild Tragwerksplanung soll für die Leistungsphasen 1-6 (Los 2) und Fachplanung Technische Gebäudeausstattung soll für die Leistungsphasen 1-9 (Los3) in Anlehnung an der zurzeit gültigen HOAI erbracht werden (stufenweise Beauftragung).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